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01F" w:rsidRDefault="0076001F" w:rsidP="00323E8B">
      <w:pPr>
        <w:spacing w:before="100" w:beforeAutospacing="1" w:after="100" w:afterAutospacing="1" w:line="240" w:lineRule="auto"/>
        <w:jc w:val="center"/>
        <w:rPr>
          <w:rFonts w:eastAsia="Times New Roman" w:cs="Times New Roman"/>
          <w:b/>
          <w:bCs/>
          <w:sz w:val="24"/>
          <w:szCs w:val="24"/>
        </w:rPr>
      </w:pPr>
      <w:r w:rsidRPr="0076001F">
        <w:rPr>
          <w:rFonts w:eastAsia="Times New Roman" w:cs="Times New Roman"/>
          <w:b/>
          <w:bCs/>
          <w:sz w:val="24"/>
          <w:szCs w:val="24"/>
        </w:rPr>
        <w:t>PHỤ LỤC 2</w:t>
      </w:r>
      <w:r w:rsidRPr="0076001F">
        <w:rPr>
          <w:rFonts w:eastAsia="Times New Roman" w:cs="Times New Roman"/>
          <w:sz w:val="24"/>
          <w:szCs w:val="24"/>
        </w:rPr>
        <w:br/>
      </w:r>
      <w:r w:rsidRPr="0076001F">
        <w:rPr>
          <w:rFonts w:eastAsia="Times New Roman" w:cs="Times New Roman"/>
          <w:b/>
          <w:bCs/>
          <w:sz w:val="24"/>
          <w:szCs w:val="24"/>
        </w:rPr>
        <w:t>DANH MỤC VĂN BẢN PHÁP LUẬT LIÊN QUAN</w:t>
      </w:r>
    </w:p>
    <w:p w:rsidR="006711BF" w:rsidRPr="0078284B" w:rsidRDefault="006711BF" w:rsidP="006711BF">
      <w:pPr>
        <w:spacing w:before="100" w:beforeAutospacing="1" w:after="100" w:afterAutospacing="1" w:line="240" w:lineRule="auto"/>
        <w:jc w:val="center"/>
        <w:rPr>
          <w:rFonts w:eastAsia="Times New Roman" w:cs="Times New Roman"/>
          <w:b/>
          <w:bCs/>
          <w:i/>
          <w:sz w:val="24"/>
          <w:szCs w:val="24"/>
        </w:rPr>
      </w:pPr>
      <w:r w:rsidRPr="0078284B">
        <w:rPr>
          <w:rFonts w:eastAsia="Times New Roman" w:cs="Times New Roman"/>
          <w:b/>
          <w:bCs/>
          <w:i/>
          <w:sz w:val="24"/>
          <w:szCs w:val="24"/>
        </w:rPr>
        <w:t>(Kèm theo Báo cáo số          /BC-BGDĐT ngày    /11/2025 của Bộ GDĐT)</w:t>
      </w:r>
    </w:p>
    <w:tbl>
      <w:tblPr>
        <w:tblStyle w:val="TableGrid"/>
        <w:tblW w:w="0" w:type="auto"/>
        <w:tblInd w:w="-147" w:type="dxa"/>
        <w:tblLook w:val="04A0" w:firstRow="1" w:lastRow="0" w:firstColumn="1" w:lastColumn="0" w:noHBand="0" w:noVBand="1"/>
      </w:tblPr>
      <w:tblGrid>
        <w:gridCol w:w="708"/>
        <w:gridCol w:w="2810"/>
        <w:gridCol w:w="1444"/>
        <w:gridCol w:w="4247"/>
      </w:tblGrid>
      <w:tr w:rsidR="006711BF" w:rsidTr="006711BF">
        <w:tc>
          <w:tcPr>
            <w:tcW w:w="708" w:type="dxa"/>
          </w:tcPr>
          <w:p w:rsidR="006711BF" w:rsidRPr="0078284B" w:rsidRDefault="006711BF" w:rsidP="00950988">
            <w:pPr>
              <w:spacing w:before="100" w:beforeAutospacing="1" w:after="100" w:afterAutospacing="1"/>
              <w:jc w:val="center"/>
              <w:rPr>
                <w:rFonts w:eastAsia="Times New Roman" w:cs="Times New Roman"/>
                <w:b/>
                <w:sz w:val="24"/>
                <w:szCs w:val="24"/>
              </w:rPr>
            </w:pPr>
            <w:r w:rsidRPr="0078284B">
              <w:rPr>
                <w:b/>
                <w:sz w:val="26"/>
                <w:szCs w:val="26"/>
              </w:rPr>
              <w:t>STT</w:t>
            </w:r>
          </w:p>
        </w:tc>
        <w:tc>
          <w:tcPr>
            <w:tcW w:w="2810" w:type="dxa"/>
          </w:tcPr>
          <w:p w:rsidR="006711BF" w:rsidRPr="0078284B" w:rsidRDefault="006711BF" w:rsidP="00950988">
            <w:pPr>
              <w:spacing w:before="100" w:beforeAutospacing="1" w:after="100" w:afterAutospacing="1"/>
              <w:jc w:val="center"/>
              <w:rPr>
                <w:rFonts w:eastAsia="Times New Roman" w:cs="Times New Roman"/>
                <w:b/>
                <w:sz w:val="24"/>
                <w:szCs w:val="24"/>
              </w:rPr>
            </w:pPr>
            <w:r w:rsidRPr="0078284B">
              <w:rPr>
                <w:b/>
                <w:sz w:val="26"/>
                <w:szCs w:val="26"/>
              </w:rPr>
              <w:t xml:space="preserve">Tên </w:t>
            </w:r>
            <w:r>
              <w:rPr>
                <w:b/>
                <w:sz w:val="26"/>
                <w:szCs w:val="26"/>
              </w:rPr>
              <w:t>văn bản</w:t>
            </w:r>
          </w:p>
        </w:tc>
        <w:tc>
          <w:tcPr>
            <w:tcW w:w="1444" w:type="dxa"/>
          </w:tcPr>
          <w:p w:rsidR="006711BF" w:rsidRPr="0078284B" w:rsidRDefault="006711BF" w:rsidP="00950988">
            <w:pPr>
              <w:spacing w:before="100" w:beforeAutospacing="1" w:after="100" w:afterAutospacing="1"/>
              <w:jc w:val="center"/>
              <w:rPr>
                <w:rFonts w:eastAsia="Times New Roman" w:cs="Times New Roman"/>
                <w:b/>
                <w:sz w:val="24"/>
                <w:szCs w:val="24"/>
              </w:rPr>
            </w:pPr>
            <w:r w:rsidRPr="0078284B">
              <w:rPr>
                <w:b/>
                <w:sz w:val="26"/>
                <w:szCs w:val="26"/>
              </w:rPr>
              <w:t>Cơ quan ban hành</w:t>
            </w:r>
          </w:p>
        </w:tc>
        <w:tc>
          <w:tcPr>
            <w:tcW w:w="4247" w:type="dxa"/>
          </w:tcPr>
          <w:p w:rsidR="006711BF" w:rsidRPr="0078284B" w:rsidRDefault="006711BF" w:rsidP="00950988">
            <w:pPr>
              <w:spacing w:before="100" w:beforeAutospacing="1" w:after="100" w:afterAutospacing="1"/>
              <w:jc w:val="center"/>
              <w:rPr>
                <w:rFonts w:eastAsia="Times New Roman" w:cs="Times New Roman"/>
                <w:b/>
                <w:sz w:val="24"/>
                <w:szCs w:val="24"/>
              </w:rPr>
            </w:pPr>
            <w:r w:rsidRPr="0078284B">
              <w:rPr>
                <w:b/>
                <w:sz w:val="26"/>
                <w:szCs w:val="26"/>
              </w:rPr>
              <w:t>Nội dung liên quan đến dự thảo Nghị định</w:t>
            </w:r>
          </w:p>
        </w:tc>
      </w:tr>
      <w:tr w:rsidR="006711BF" w:rsidTr="006711BF">
        <w:tc>
          <w:tcPr>
            <w:tcW w:w="708" w:type="dxa"/>
          </w:tcPr>
          <w:p w:rsidR="006711BF" w:rsidRDefault="006711BF" w:rsidP="00950988">
            <w:pPr>
              <w:spacing w:before="100" w:beforeAutospacing="1" w:after="100" w:afterAutospacing="1"/>
              <w:jc w:val="center"/>
              <w:rPr>
                <w:rFonts w:eastAsia="Times New Roman" w:cs="Times New Roman"/>
                <w:sz w:val="24"/>
                <w:szCs w:val="24"/>
              </w:rPr>
            </w:pPr>
          </w:p>
          <w:p w:rsidR="006711BF" w:rsidRDefault="006711BF" w:rsidP="00950988">
            <w:pPr>
              <w:spacing w:before="100" w:beforeAutospacing="1" w:after="100" w:afterAutospacing="1"/>
              <w:jc w:val="center"/>
              <w:rPr>
                <w:rFonts w:eastAsia="Times New Roman" w:cs="Times New Roman"/>
                <w:sz w:val="24"/>
                <w:szCs w:val="24"/>
              </w:rPr>
            </w:pPr>
          </w:p>
          <w:p w:rsidR="006711BF" w:rsidRDefault="006711BF" w:rsidP="00950988">
            <w:pPr>
              <w:spacing w:before="100" w:beforeAutospacing="1" w:after="100" w:afterAutospacing="1"/>
              <w:jc w:val="center"/>
              <w:rPr>
                <w:rFonts w:eastAsia="Times New Roman" w:cs="Times New Roman"/>
                <w:sz w:val="24"/>
                <w:szCs w:val="24"/>
              </w:rPr>
            </w:pPr>
            <w:r>
              <w:rPr>
                <w:rFonts w:eastAsia="Times New Roman" w:cs="Times New Roman"/>
                <w:sz w:val="24"/>
                <w:szCs w:val="24"/>
              </w:rPr>
              <w:t>1</w:t>
            </w:r>
          </w:p>
        </w:tc>
        <w:tc>
          <w:tcPr>
            <w:tcW w:w="2810"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Luật Giáo dục đại học số 08/2012/QH13, sửa đổi bổ sung bởi Luật số 34/2018/QH14</w:t>
            </w:r>
          </w:p>
        </w:tc>
        <w:tc>
          <w:tcPr>
            <w:tcW w:w="1444"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Quốc hội</w:t>
            </w:r>
          </w:p>
        </w:tc>
        <w:tc>
          <w:tcPr>
            <w:tcW w:w="4247"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Quy định về tổ chức, quản lý, đào tạo, và quyền lợi người học trong giáo dục đại học, làm cơ sở pháp lý cho việc triển khai học bổng cho sinh viên, học viên cao học và nghiên cứu sinh.</w:t>
            </w:r>
          </w:p>
        </w:tc>
      </w:tr>
      <w:tr w:rsidR="006711BF" w:rsidTr="006711BF">
        <w:tc>
          <w:tcPr>
            <w:tcW w:w="708" w:type="dxa"/>
          </w:tcPr>
          <w:p w:rsidR="006711BF" w:rsidRDefault="006711BF" w:rsidP="00950988">
            <w:pPr>
              <w:spacing w:before="100" w:beforeAutospacing="1" w:after="100" w:afterAutospacing="1"/>
              <w:jc w:val="center"/>
              <w:rPr>
                <w:rFonts w:eastAsia="Times New Roman" w:cs="Times New Roman"/>
                <w:sz w:val="24"/>
                <w:szCs w:val="24"/>
              </w:rPr>
            </w:pPr>
          </w:p>
          <w:p w:rsidR="006711BF" w:rsidRDefault="006711BF" w:rsidP="00950988">
            <w:pPr>
              <w:spacing w:before="100" w:beforeAutospacing="1" w:after="100" w:afterAutospacing="1"/>
              <w:jc w:val="center"/>
              <w:rPr>
                <w:rFonts w:eastAsia="Times New Roman" w:cs="Times New Roman"/>
                <w:sz w:val="24"/>
                <w:szCs w:val="24"/>
              </w:rPr>
            </w:pPr>
          </w:p>
          <w:p w:rsidR="006711BF" w:rsidRDefault="006711BF" w:rsidP="00950988">
            <w:pPr>
              <w:spacing w:before="100" w:beforeAutospacing="1" w:after="100" w:afterAutospacing="1"/>
              <w:jc w:val="center"/>
              <w:rPr>
                <w:rFonts w:eastAsia="Times New Roman" w:cs="Times New Roman"/>
                <w:sz w:val="24"/>
                <w:szCs w:val="24"/>
              </w:rPr>
            </w:pPr>
            <w:r>
              <w:rPr>
                <w:rFonts w:eastAsia="Times New Roman" w:cs="Times New Roman"/>
                <w:sz w:val="24"/>
                <w:szCs w:val="24"/>
              </w:rPr>
              <w:t>2</w:t>
            </w:r>
          </w:p>
        </w:tc>
        <w:tc>
          <w:tcPr>
            <w:tcW w:w="2810"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Luật Ngân sách nhà nước số 89/2025/QH15</w:t>
            </w:r>
          </w:p>
        </w:tc>
        <w:tc>
          <w:tcPr>
            <w:tcW w:w="1444"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Quốc hội</w:t>
            </w:r>
          </w:p>
        </w:tc>
        <w:tc>
          <w:tcPr>
            <w:tcW w:w="4247"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Quy định về quản lý, lập dự toán, phân bổ, quyết toán và sử dụng ngân sách nhà nước, là cơ sở pháp lý cho việc cấp, chi trả và quản lý kinh phí học bổng.</w:t>
            </w:r>
          </w:p>
        </w:tc>
      </w:tr>
      <w:tr w:rsidR="006711BF" w:rsidTr="006711BF">
        <w:tc>
          <w:tcPr>
            <w:tcW w:w="708" w:type="dxa"/>
          </w:tcPr>
          <w:p w:rsidR="006711BF" w:rsidRDefault="006711BF" w:rsidP="00950988">
            <w:pPr>
              <w:spacing w:before="100" w:beforeAutospacing="1" w:after="100" w:afterAutospacing="1"/>
              <w:jc w:val="center"/>
              <w:rPr>
                <w:rFonts w:eastAsia="Times New Roman" w:cs="Times New Roman"/>
                <w:sz w:val="24"/>
                <w:szCs w:val="24"/>
              </w:rPr>
            </w:pPr>
          </w:p>
          <w:p w:rsidR="006711BF" w:rsidRDefault="006711BF" w:rsidP="00950988">
            <w:pPr>
              <w:spacing w:before="100" w:beforeAutospacing="1" w:after="100" w:afterAutospacing="1"/>
              <w:jc w:val="center"/>
              <w:rPr>
                <w:rFonts w:eastAsia="Times New Roman" w:cs="Times New Roman"/>
                <w:sz w:val="24"/>
                <w:szCs w:val="24"/>
              </w:rPr>
            </w:pPr>
            <w:r>
              <w:rPr>
                <w:rFonts w:eastAsia="Times New Roman" w:cs="Times New Roman"/>
                <w:sz w:val="24"/>
                <w:szCs w:val="24"/>
              </w:rPr>
              <w:t>3</w:t>
            </w:r>
          </w:p>
        </w:tc>
        <w:tc>
          <w:tcPr>
            <w:tcW w:w="2810"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Luật Tổ chức Chính phủ số 63/2025/QH15</w:t>
            </w:r>
          </w:p>
        </w:tc>
        <w:tc>
          <w:tcPr>
            <w:tcW w:w="1444"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Quốc hội</w:t>
            </w:r>
          </w:p>
        </w:tc>
        <w:tc>
          <w:tcPr>
            <w:tcW w:w="4247" w:type="dxa"/>
          </w:tcPr>
          <w:p w:rsidR="006711BF" w:rsidRPr="0078284B" w:rsidRDefault="006711BF" w:rsidP="00950988">
            <w:pPr>
              <w:spacing w:before="100" w:beforeAutospacing="1" w:after="100" w:afterAutospacing="1"/>
              <w:jc w:val="center"/>
              <w:rPr>
                <w:rFonts w:eastAsia="Times New Roman" w:cs="Times New Roman"/>
                <w:szCs w:val="28"/>
              </w:rPr>
            </w:pPr>
            <w:r w:rsidRPr="00323E8B">
              <w:rPr>
                <w:rFonts w:eastAsia="Times New Roman" w:cs="Times New Roman"/>
                <w:sz w:val="26"/>
                <w:szCs w:val="26"/>
              </w:rPr>
              <w:t>Quy định thẩm quyền, trách nhiệm của Chính phủ và các Bộ trong xây dựng và ban hành Nghị định, cơ sở pháp lý cho Bộ GDĐT xây dựng dự thảo Nghị định.</w:t>
            </w:r>
          </w:p>
        </w:tc>
      </w:tr>
      <w:tr w:rsidR="006711BF" w:rsidTr="006711BF">
        <w:tc>
          <w:tcPr>
            <w:tcW w:w="708" w:type="dxa"/>
          </w:tcPr>
          <w:p w:rsidR="006711BF" w:rsidRDefault="006711BF" w:rsidP="006711BF">
            <w:pPr>
              <w:spacing w:before="100" w:beforeAutospacing="1" w:after="100" w:afterAutospacing="1"/>
              <w:jc w:val="center"/>
              <w:rPr>
                <w:rFonts w:eastAsia="Times New Roman" w:cs="Times New Roman"/>
                <w:sz w:val="24"/>
                <w:szCs w:val="24"/>
              </w:rPr>
            </w:pPr>
          </w:p>
          <w:p w:rsidR="006711BF" w:rsidRDefault="006711BF" w:rsidP="006711BF">
            <w:pPr>
              <w:spacing w:before="100" w:beforeAutospacing="1" w:after="100" w:afterAutospacing="1"/>
              <w:jc w:val="center"/>
              <w:rPr>
                <w:rFonts w:eastAsia="Times New Roman" w:cs="Times New Roman"/>
                <w:sz w:val="24"/>
                <w:szCs w:val="24"/>
              </w:rPr>
            </w:pPr>
            <w:r>
              <w:rPr>
                <w:rFonts w:eastAsia="Times New Roman" w:cs="Times New Roman"/>
                <w:sz w:val="24"/>
                <w:szCs w:val="24"/>
              </w:rPr>
              <w:t>4</w:t>
            </w:r>
          </w:p>
        </w:tc>
        <w:tc>
          <w:tcPr>
            <w:tcW w:w="2810" w:type="dxa"/>
          </w:tcPr>
          <w:p w:rsidR="006711BF" w:rsidRPr="0078284B" w:rsidRDefault="006711BF" w:rsidP="006711BF">
            <w:pPr>
              <w:spacing w:before="100" w:beforeAutospacing="1" w:after="100" w:afterAutospacing="1"/>
              <w:jc w:val="center"/>
              <w:rPr>
                <w:rFonts w:eastAsia="Times New Roman" w:cs="Times New Roman"/>
                <w:szCs w:val="28"/>
              </w:rPr>
            </w:pPr>
            <w:r w:rsidRPr="00323E8B">
              <w:rPr>
                <w:rFonts w:eastAsia="Times New Roman" w:cs="Times New Roman"/>
                <w:sz w:val="26"/>
                <w:szCs w:val="26"/>
              </w:rPr>
              <w:t>Luật Tổ chức chính quyền địa phương số 72/2025/QH15</w:t>
            </w:r>
          </w:p>
        </w:tc>
        <w:tc>
          <w:tcPr>
            <w:tcW w:w="1444" w:type="dxa"/>
            <w:vAlign w:val="center"/>
          </w:tcPr>
          <w:p w:rsidR="006711BF" w:rsidRPr="00323E8B" w:rsidRDefault="006711BF" w:rsidP="006711BF">
            <w:pPr>
              <w:jc w:val="center"/>
              <w:rPr>
                <w:rFonts w:eastAsia="Times New Roman" w:cs="Times New Roman"/>
                <w:sz w:val="26"/>
                <w:szCs w:val="26"/>
              </w:rPr>
            </w:pPr>
            <w:r w:rsidRPr="00323E8B">
              <w:rPr>
                <w:rFonts w:eastAsia="Times New Roman" w:cs="Times New Roman"/>
                <w:sz w:val="26"/>
                <w:szCs w:val="26"/>
              </w:rPr>
              <w:t>Quốc hội</w:t>
            </w:r>
          </w:p>
        </w:tc>
        <w:tc>
          <w:tcPr>
            <w:tcW w:w="4247" w:type="dxa"/>
          </w:tcPr>
          <w:p w:rsidR="006711BF" w:rsidRPr="0078284B" w:rsidRDefault="006711BF" w:rsidP="006711BF">
            <w:pPr>
              <w:spacing w:before="100" w:beforeAutospacing="1" w:after="100" w:afterAutospacing="1"/>
              <w:jc w:val="center"/>
              <w:rPr>
                <w:rFonts w:eastAsia="Times New Roman" w:cs="Times New Roman"/>
                <w:szCs w:val="28"/>
              </w:rPr>
            </w:pPr>
            <w:r w:rsidRPr="00323E8B">
              <w:rPr>
                <w:rFonts w:eastAsia="Times New Roman" w:cs="Times New Roman"/>
                <w:sz w:val="26"/>
                <w:szCs w:val="26"/>
              </w:rPr>
              <w:t>Quy định về trách nhiệm của Ủy ban nhân dân cấp tỉnh trong quản lý ngân sách, dự toán và giám sát việc chi trả học bổng tại các cơ sở giáo dục trên địa bàn.</w:t>
            </w:r>
          </w:p>
        </w:tc>
      </w:tr>
      <w:tr w:rsidR="006711BF" w:rsidTr="006711BF">
        <w:tc>
          <w:tcPr>
            <w:tcW w:w="708" w:type="dxa"/>
          </w:tcPr>
          <w:p w:rsidR="006711BF" w:rsidRDefault="006711BF" w:rsidP="006711BF">
            <w:pPr>
              <w:spacing w:before="100" w:beforeAutospacing="1" w:after="100" w:afterAutospacing="1"/>
              <w:jc w:val="center"/>
              <w:rPr>
                <w:rFonts w:eastAsia="Times New Roman" w:cs="Times New Roman"/>
                <w:sz w:val="24"/>
                <w:szCs w:val="24"/>
              </w:rPr>
            </w:pPr>
          </w:p>
          <w:p w:rsidR="006711BF" w:rsidRDefault="006711BF" w:rsidP="006711BF">
            <w:pPr>
              <w:spacing w:before="100" w:beforeAutospacing="1" w:after="100" w:afterAutospacing="1"/>
              <w:jc w:val="center"/>
              <w:rPr>
                <w:rFonts w:eastAsia="Times New Roman" w:cs="Times New Roman"/>
                <w:sz w:val="24"/>
                <w:szCs w:val="24"/>
              </w:rPr>
            </w:pPr>
            <w:r>
              <w:rPr>
                <w:rFonts w:eastAsia="Times New Roman" w:cs="Times New Roman"/>
                <w:sz w:val="24"/>
                <w:szCs w:val="24"/>
              </w:rPr>
              <w:t>5</w:t>
            </w:r>
          </w:p>
        </w:tc>
        <w:tc>
          <w:tcPr>
            <w:tcW w:w="2810" w:type="dxa"/>
          </w:tcPr>
          <w:p w:rsidR="006711BF" w:rsidRPr="0078284B" w:rsidRDefault="006711BF" w:rsidP="006711BF">
            <w:pPr>
              <w:spacing w:before="100" w:beforeAutospacing="1" w:after="100" w:afterAutospacing="1"/>
              <w:jc w:val="center"/>
              <w:rPr>
                <w:szCs w:val="28"/>
              </w:rPr>
            </w:pPr>
            <w:r w:rsidRPr="00323E8B">
              <w:rPr>
                <w:rFonts w:eastAsia="Times New Roman" w:cs="Times New Roman"/>
                <w:sz w:val="26"/>
                <w:szCs w:val="26"/>
              </w:rPr>
              <w:t>Nghị định số 84/2020/NĐ-CP</w:t>
            </w:r>
          </w:p>
        </w:tc>
        <w:tc>
          <w:tcPr>
            <w:tcW w:w="1444" w:type="dxa"/>
          </w:tcPr>
          <w:p w:rsidR="006711BF" w:rsidRPr="0078284B" w:rsidRDefault="006711BF" w:rsidP="006711BF">
            <w:pPr>
              <w:spacing w:before="100" w:beforeAutospacing="1" w:after="100" w:afterAutospacing="1"/>
              <w:jc w:val="center"/>
              <w:rPr>
                <w:szCs w:val="28"/>
              </w:rPr>
            </w:pPr>
            <w:r w:rsidRPr="00323E8B">
              <w:rPr>
                <w:rFonts w:eastAsia="Times New Roman" w:cs="Times New Roman"/>
                <w:sz w:val="26"/>
                <w:szCs w:val="26"/>
              </w:rPr>
              <w:t>Chính phủ</w:t>
            </w:r>
          </w:p>
        </w:tc>
        <w:tc>
          <w:tcPr>
            <w:tcW w:w="4247" w:type="dxa"/>
          </w:tcPr>
          <w:p w:rsidR="006711BF" w:rsidRPr="0078284B" w:rsidRDefault="006711BF" w:rsidP="006711BF">
            <w:pPr>
              <w:spacing w:before="100" w:beforeAutospacing="1" w:after="100" w:afterAutospacing="1"/>
              <w:jc w:val="center"/>
              <w:rPr>
                <w:szCs w:val="28"/>
              </w:rPr>
            </w:pPr>
            <w:r w:rsidRPr="00323E8B">
              <w:rPr>
                <w:rFonts w:eastAsia="Times New Roman" w:cs="Times New Roman"/>
                <w:sz w:val="26"/>
                <w:szCs w:val="26"/>
              </w:rPr>
              <w:t>Quy định chi tiết một số điều của Luật Giáo dục về học bổng khuyến khích học tập, làm cơ sở so sánh và phân biệt đối tượng được hưởng học bổng theo dự thảo Nghị định.</w:t>
            </w:r>
          </w:p>
        </w:tc>
        <w:bookmarkStart w:id="0" w:name="_GoBack"/>
        <w:bookmarkEnd w:id="0"/>
      </w:tr>
      <w:tr w:rsidR="006711BF" w:rsidTr="006711BF">
        <w:tc>
          <w:tcPr>
            <w:tcW w:w="708" w:type="dxa"/>
          </w:tcPr>
          <w:p w:rsidR="006711BF" w:rsidRDefault="006711BF" w:rsidP="006711BF">
            <w:pPr>
              <w:spacing w:before="100" w:beforeAutospacing="1" w:after="100" w:afterAutospacing="1"/>
              <w:jc w:val="center"/>
              <w:rPr>
                <w:rFonts w:eastAsia="Times New Roman" w:cs="Times New Roman"/>
                <w:sz w:val="24"/>
                <w:szCs w:val="24"/>
              </w:rPr>
            </w:pPr>
          </w:p>
          <w:p w:rsidR="006711BF" w:rsidRDefault="006711BF" w:rsidP="006711BF">
            <w:pPr>
              <w:spacing w:before="100" w:beforeAutospacing="1" w:after="100" w:afterAutospacing="1"/>
              <w:jc w:val="center"/>
              <w:rPr>
                <w:rFonts w:eastAsia="Times New Roman" w:cs="Times New Roman"/>
                <w:sz w:val="24"/>
                <w:szCs w:val="24"/>
              </w:rPr>
            </w:pPr>
            <w:r>
              <w:rPr>
                <w:rFonts w:eastAsia="Times New Roman" w:cs="Times New Roman"/>
                <w:sz w:val="24"/>
                <w:szCs w:val="24"/>
              </w:rPr>
              <w:t>6</w:t>
            </w:r>
          </w:p>
        </w:tc>
        <w:tc>
          <w:tcPr>
            <w:tcW w:w="2810" w:type="dxa"/>
            <w:vAlign w:val="center"/>
          </w:tcPr>
          <w:p w:rsidR="006711BF" w:rsidRPr="00323E8B" w:rsidRDefault="006711BF" w:rsidP="006711BF">
            <w:pPr>
              <w:jc w:val="center"/>
              <w:rPr>
                <w:rFonts w:eastAsia="Times New Roman" w:cs="Times New Roman"/>
                <w:sz w:val="26"/>
                <w:szCs w:val="26"/>
              </w:rPr>
            </w:pPr>
            <w:r w:rsidRPr="00323E8B">
              <w:rPr>
                <w:rFonts w:eastAsia="Times New Roman" w:cs="Times New Roman"/>
                <w:sz w:val="26"/>
                <w:szCs w:val="26"/>
              </w:rPr>
              <w:t>Quyết định số 2200/QĐ-TTg ngày 22/12/2020 của Thủ tướng Chính phủ</w:t>
            </w:r>
          </w:p>
        </w:tc>
        <w:tc>
          <w:tcPr>
            <w:tcW w:w="1444" w:type="dxa"/>
          </w:tcPr>
          <w:p w:rsidR="006711BF" w:rsidRPr="00323E8B" w:rsidRDefault="006711BF" w:rsidP="006711BF">
            <w:pPr>
              <w:spacing w:before="100" w:beforeAutospacing="1" w:after="100" w:afterAutospacing="1"/>
              <w:jc w:val="center"/>
              <w:rPr>
                <w:rFonts w:eastAsia="Times New Roman" w:cs="Times New Roman"/>
                <w:sz w:val="26"/>
                <w:szCs w:val="26"/>
              </w:rPr>
            </w:pPr>
            <w:r w:rsidRPr="00323E8B">
              <w:rPr>
                <w:rFonts w:eastAsia="Times New Roman" w:cs="Times New Roman"/>
                <w:sz w:val="26"/>
                <w:szCs w:val="26"/>
              </w:rPr>
              <w:t>Thủ tướng Chính phủ</w:t>
            </w:r>
          </w:p>
        </w:tc>
        <w:tc>
          <w:tcPr>
            <w:tcW w:w="4247" w:type="dxa"/>
          </w:tcPr>
          <w:p w:rsidR="006711BF" w:rsidRPr="00323E8B" w:rsidRDefault="006711BF" w:rsidP="006711BF">
            <w:pPr>
              <w:spacing w:before="100" w:beforeAutospacing="1" w:after="100" w:afterAutospacing="1"/>
              <w:jc w:val="center"/>
              <w:rPr>
                <w:rFonts w:eastAsia="Times New Roman" w:cs="Times New Roman"/>
                <w:sz w:val="26"/>
                <w:szCs w:val="26"/>
              </w:rPr>
            </w:pPr>
            <w:r w:rsidRPr="00323E8B">
              <w:rPr>
                <w:rFonts w:eastAsia="Times New Roman" w:cs="Times New Roman"/>
                <w:sz w:val="26"/>
                <w:szCs w:val="26"/>
              </w:rPr>
              <w:t>Phê duyệt Chương trình trọng điểm quốc gia phát triển Toán học, quy định đối tượng học bổng trong cùng học kỳ, giúp xác định phạm vi áp dụng của dự thảo Nghị định.</w:t>
            </w:r>
          </w:p>
        </w:tc>
      </w:tr>
      <w:tr w:rsidR="006711BF" w:rsidTr="006711BF">
        <w:tc>
          <w:tcPr>
            <w:tcW w:w="708" w:type="dxa"/>
          </w:tcPr>
          <w:p w:rsidR="006711BF" w:rsidRDefault="006711BF" w:rsidP="006711BF">
            <w:pPr>
              <w:spacing w:before="100" w:beforeAutospacing="1" w:after="100" w:afterAutospacing="1"/>
              <w:jc w:val="center"/>
              <w:rPr>
                <w:rFonts w:eastAsia="Times New Roman" w:cs="Times New Roman"/>
                <w:sz w:val="24"/>
                <w:szCs w:val="24"/>
              </w:rPr>
            </w:pPr>
          </w:p>
          <w:p w:rsidR="006711BF" w:rsidRDefault="006711BF" w:rsidP="006711BF">
            <w:pPr>
              <w:spacing w:before="100" w:beforeAutospacing="1" w:after="100" w:afterAutospacing="1"/>
              <w:jc w:val="center"/>
              <w:rPr>
                <w:rFonts w:eastAsia="Times New Roman" w:cs="Times New Roman"/>
                <w:sz w:val="24"/>
                <w:szCs w:val="24"/>
              </w:rPr>
            </w:pPr>
            <w:r>
              <w:rPr>
                <w:rFonts w:eastAsia="Times New Roman" w:cs="Times New Roman"/>
                <w:sz w:val="24"/>
                <w:szCs w:val="24"/>
              </w:rPr>
              <w:t>7</w:t>
            </w:r>
          </w:p>
        </w:tc>
        <w:tc>
          <w:tcPr>
            <w:tcW w:w="2810" w:type="dxa"/>
            <w:vAlign w:val="center"/>
          </w:tcPr>
          <w:p w:rsidR="006711BF" w:rsidRPr="00323E8B" w:rsidRDefault="006711BF" w:rsidP="006711BF">
            <w:pPr>
              <w:jc w:val="center"/>
              <w:rPr>
                <w:rFonts w:eastAsia="Times New Roman" w:cs="Times New Roman"/>
                <w:sz w:val="26"/>
                <w:szCs w:val="26"/>
              </w:rPr>
            </w:pPr>
            <w:r w:rsidRPr="00323E8B">
              <w:rPr>
                <w:rFonts w:eastAsia="Times New Roman" w:cs="Times New Roman"/>
                <w:sz w:val="26"/>
                <w:szCs w:val="26"/>
              </w:rPr>
              <w:t>Quyết định số 89/QĐ-TTg ngày 18/01/2019 của Thủ tướng Chính phủ</w:t>
            </w:r>
          </w:p>
        </w:tc>
        <w:tc>
          <w:tcPr>
            <w:tcW w:w="1444" w:type="dxa"/>
            <w:vAlign w:val="center"/>
          </w:tcPr>
          <w:p w:rsidR="006711BF" w:rsidRPr="00323E8B" w:rsidRDefault="006711BF" w:rsidP="006711BF">
            <w:pPr>
              <w:jc w:val="center"/>
              <w:rPr>
                <w:rFonts w:eastAsia="Times New Roman" w:cs="Times New Roman"/>
                <w:sz w:val="26"/>
                <w:szCs w:val="26"/>
              </w:rPr>
            </w:pPr>
            <w:r w:rsidRPr="00323E8B">
              <w:rPr>
                <w:rFonts w:eastAsia="Times New Roman" w:cs="Times New Roman"/>
                <w:sz w:val="26"/>
                <w:szCs w:val="26"/>
              </w:rPr>
              <w:t>Thủ tướng Chính phủ</w:t>
            </w:r>
          </w:p>
        </w:tc>
        <w:tc>
          <w:tcPr>
            <w:tcW w:w="4247" w:type="dxa"/>
          </w:tcPr>
          <w:p w:rsidR="006711BF" w:rsidRPr="00323E8B" w:rsidRDefault="006711BF" w:rsidP="006711BF">
            <w:pPr>
              <w:spacing w:before="100" w:beforeAutospacing="1" w:after="100" w:afterAutospacing="1"/>
              <w:jc w:val="center"/>
              <w:rPr>
                <w:rFonts w:eastAsia="Times New Roman" w:cs="Times New Roman"/>
                <w:sz w:val="26"/>
                <w:szCs w:val="26"/>
              </w:rPr>
            </w:pPr>
            <w:r w:rsidRPr="00323E8B">
              <w:rPr>
                <w:rFonts w:eastAsia="Times New Roman" w:cs="Times New Roman"/>
                <w:sz w:val="26"/>
                <w:szCs w:val="26"/>
              </w:rPr>
              <w:t>Phê duyệt Đề án Nâng cao năng lực đội ngũ giảng viên, cán bộ quản lý các cơ sở giáo dục đại học, là cơ sở phân định đối tượng người học không áp dụng học bổng theo dự thảo.</w:t>
            </w:r>
          </w:p>
        </w:tc>
      </w:tr>
    </w:tbl>
    <w:p w:rsidR="0076001F" w:rsidRPr="00323E8B" w:rsidRDefault="0076001F" w:rsidP="00323E8B">
      <w:pPr>
        <w:spacing w:after="0" w:line="240" w:lineRule="auto"/>
        <w:jc w:val="both"/>
        <w:rPr>
          <w:rFonts w:eastAsia="Times New Roman" w:cs="Times New Roman"/>
          <w:szCs w:val="28"/>
        </w:rPr>
      </w:pPr>
      <w:r w:rsidRPr="00323E8B">
        <w:rPr>
          <w:rFonts w:eastAsia="Times New Roman" w:cs="Times New Roman"/>
          <w:b/>
          <w:bCs/>
          <w:szCs w:val="28"/>
        </w:rPr>
        <w:t>Ghi chú:</w:t>
      </w:r>
    </w:p>
    <w:p w:rsidR="0076001F" w:rsidRPr="00323E8B" w:rsidRDefault="00323E8B" w:rsidP="00323E8B">
      <w:pPr>
        <w:spacing w:after="0" w:line="240" w:lineRule="auto"/>
        <w:ind w:firstLine="720"/>
        <w:jc w:val="both"/>
        <w:rPr>
          <w:rFonts w:eastAsia="Times New Roman" w:cs="Times New Roman"/>
          <w:szCs w:val="28"/>
        </w:rPr>
      </w:pPr>
      <w:r>
        <w:rPr>
          <w:rFonts w:eastAsia="Times New Roman" w:cs="Times New Roman"/>
          <w:szCs w:val="28"/>
        </w:rPr>
        <w:t xml:space="preserve">- </w:t>
      </w:r>
      <w:r w:rsidR="0076001F" w:rsidRPr="00323E8B">
        <w:rPr>
          <w:rFonts w:eastAsia="Times New Roman" w:cs="Times New Roman"/>
          <w:szCs w:val="28"/>
        </w:rPr>
        <w:t>Các văn bản pháp luật trên là cơ sở pháp lý trực tiếp cho dự thảo Nghị định, bảo đảm tính hợp hiến, hợp pháp và phù hợp với hệ thống pháp luật hiện hành.</w:t>
      </w:r>
    </w:p>
    <w:p w:rsidR="0076001F" w:rsidRPr="00323E8B" w:rsidRDefault="00323E8B" w:rsidP="00323E8B">
      <w:pPr>
        <w:spacing w:after="0" w:line="240" w:lineRule="auto"/>
        <w:ind w:firstLine="720"/>
        <w:jc w:val="both"/>
        <w:rPr>
          <w:rFonts w:eastAsia="Times New Roman" w:cs="Times New Roman"/>
          <w:szCs w:val="28"/>
        </w:rPr>
      </w:pPr>
      <w:r>
        <w:rPr>
          <w:rFonts w:eastAsia="Times New Roman" w:cs="Times New Roman"/>
          <w:szCs w:val="28"/>
        </w:rPr>
        <w:t xml:space="preserve">- </w:t>
      </w:r>
      <w:r w:rsidR="0076001F" w:rsidRPr="00323E8B">
        <w:rPr>
          <w:rFonts w:eastAsia="Times New Roman" w:cs="Times New Roman"/>
          <w:szCs w:val="28"/>
        </w:rPr>
        <w:t>Dự thảo Nghị định đã rà soát và tiếp nối các quy định hiện hành, đồng thời làm rõ đối tượng, tiêu chuẩn, mức học bổng và thẩm quyền thực hiện chính sách học bổng.</w:t>
      </w:r>
    </w:p>
    <w:p w:rsidR="000F484F" w:rsidRDefault="000F484F"/>
    <w:sectPr w:rsidR="000F484F" w:rsidSect="006711BF">
      <w:pgSz w:w="11907" w:h="16840" w:code="9"/>
      <w:pgMar w:top="1077" w:right="1134" w:bottom="90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8D6A79"/>
    <w:multiLevelType w:val="multilevel"/>
    <w:tmpl w:val="C3A07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01F"/>
    <w:rsid w:val="000F484F"/>
    <w:rsid w:val="00323E8B"/>
    <w:rsid w:val="006711BF"/>
    <w:rsid w:val="0076001F"/>
    <w:rsid w:val="00870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8BFA6"/>
  <w15:chartTrackingRefBased/>
  <w15:docId w15:val="{E2DEBE7A-8CDA-4D43-8862-053044BC5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E8B"/>
    <w:pPr>
      <w:ind w:left="720"/>
      <w:contextualSpacing/>
    </w:pPr>
  </w:style>
  <w:style w:type="table" w:styleId="TableGrid">
    <w:name w:val="Table Grid"/>
    <w:basedOn w:val="TableNormal"/>
    <w:uiPriority w:val="39"/>
    <w:rsid w:val="00671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08875">
      <w:bodyDiv w:val="1"/>
      <w:marLeft w:val="0"/>
      <w:marRight w:val="0"/>
      <w:marTop w:val="0"/>
      <w:marBottom w:val="0"/>
      <w:divBdr>
        <w:top w:val="none" w:sz="0" w:space="0" w:color="auto"/>
        <w:left w:val="none" w:sz="0" w:space="0" w:color="auto"/>
        <w:bottom w:val="none" w:sz="0" w:space="0" w:color="auto"/>
        <w:right w:val="none" w:sz="0" w:space="0" w:color="auto"/>
      </w:divBdr>
      <w:divsChild>
        <w:div w:id="451631763">
          <w:marLeft w:val="0"/>
          <w:marRight w:val="0"/>
          <w:marTop w:val="0"/>
          <w:marBottom w:val="0"/>
          <w:divBdr>
            <w:top w:val="none" w:sz="0" w:space="0" w:color="auto"/>
            <w:left w:val="none" w:sz="0" w:space="0" w:color="auto"/>
            <w:bottom w:val="none" w:sz="0" w:space="0" w:color="auto"/>
            <w:right w:val="none" w:sz="0" w:space="0" w:color="auto"/>
          </w:divBdr>
          <w:divsChild>
            <w:div w:id="19751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2</cp:revision>
  <cp:lastPrinted>2025-11-17T03:52:00Z</cp:lastPrinted>
  <dcterms:created xsi:type="dcterms:W3CDTF">2025-11-17T03:52:00Z</dcterms:created>
  <dcterms:modified xsi:type="dcterms:W3CDTF">2025-11-17T03:52:00Z</dcterms:modified>
</cp:coreProperties>
</file>